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28"/>
          <w:szCs w:val="28"/>
        </w:rPr>
      </w:pPr>
      <w:r w:rsidDel="00000000" w:rsidR="00000000" w:rsidRPr="00000000">
        <w:rPr>
          <w:rtl w:val="0"/>
        </w:rPr>
      </w:r>
    </w:p>
    <w:p w:rsidR="00000000" w:rsidDel="00000000" w:rsidP="00000000" w:rsidRDefault="00000000" w:rsidRPr="00000000" w14:paraId="00000001">
      <w:pPr>
        <w:spacing w:after="360" w:line="269" w:lineRule="auto"/>
        <w:contextualSpacing w:val="0"/>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t xml:space="preserve">América Latina ofrece oportunidades de inversión en infraestructura por USD 4.500 miles de millones en los próximos 10 años</w:t>
      </w:r>
    </w:p>
    <w:p w:rsidR="00000000" w:rsidDel="00000000" w:rsidP="00000000" w:rsidRDefault="00000000" w:rsidRPr="00000000" w14:paraId="00000002">
      <w:pPr>
        <w:spacing w:after="240" w:line="269" w:lineRule="auto"/>
        <w:contextualSpacing w:val="0"/>
        <w:jc w:val="both"/>
        <w:rPr>
          <w:rFonts w:ascii="Arial Narrow" w:cs="Arial Narrow" w:eastAsia="Arial Narrow" w:hAnsi="Arial Narrow"/>
          <w:i w:val="1"/>
          <w:color w:val="5f5f5f"/>
          <w:sz w:val="24"/>
          <w:szCs w:val="24"/>
        </w:rPr>
      </w:pPr>
      <w:r w:rsidDel="00000000" w:rsidR="00000000" w:rsidRPr="00000000">
        <w:rPr>
          <w:rFonts w:ascii="Arial Narrow" w:cs="Arial Narrow" w:eastAsia="Arial Narrow" w:hAnsi="Arial Narrow"/>
          <w:i w:val="1"/>
          <w:color w:val="5f5f5f"/>
          <w:sz w:val="24"/>
          <w:szCs w:val="24"/>
          <w:rtl w:val="0"/>
        </w:rPr>
        <w:t xml:space="preserve">En la </w:t>
      </w:r>
      <w:r w:rsidDel="00000000" w:rsidR="00000000" w:rsidRPr="00000000">
        <w:rPr>
          <w:rFonts w:ascii="Arial Narrow" w:cs="Arial Narrow" w:eastAsia="Arial Narrow" w:hAnsi="Arial Narrow"/>
          <w:i w:val="1"/>
          <w:color w:val="0000ff"/>
          <w:sz w:val="24"/>
          <w:szCs w:val="24"/>
          <w:u w:val="single"/>
          <w:rtl w:val="0"/>
        </w:rPr>
        <w:t xml:space="preserve">Conferencia CAF: </w:t>
      </w:r>
      <w:hyperlink r:id="rId6">
        <w:r w:rsidDel="00000000" w:rsidR="00000000" w:rsidRPr="00000000">
          <w:rPr>
            <w:rFonts w:ascii="Arial Narrow" w:cs="Arial Narrow" w:eastAsia="Arial Narrow" w:hAnsi="Arial Narrow"/>
            <w:i w:val="1"/>
            <w:color w:val="0000ff"/>
            <w:sz w:val="24"/>
            <w:szCs w:val="24"/>
            <w:u w:val="single"/>
            <w:rtl w:val="0"/>
          </w:rPr>
          <w:t xml:space="preserve">Infraestructura para la Integración de América Latina</w:t>
        </w:r>
      </w:hyperlink>
      <w:r w:rsidDel="00000000" w:rsidR="00000000" w:rsidRPr="00000000">
        <w:rPr>
          <w:rFonts w:ascii="Arial Narrow" w:cs="Arial Narrow" w:eastAsia="Arial Narrow" w:hAnsi="Arial Narrow"/>
          <w:i w:val="1"/>
          <w:color w:val="0000ff"/>
          <w:sz w:val="24"/>
          <w:szCs w:val="24"/>
          <w:u w:val="none"/>
          <w:rtl w:val="0"/>
        </w:rPr>
        <w:t xml:space="preserve"> </w:t>
      </w:r>
      <w:r w:rsidDel="00000000" w:rsidR="00000000" w:rsidRPr="00000000">
        <w:rPr>
          <w:rFonts w:ascii="Arial Narrow" w:cs="Arial Narrow" w:eastAsia="Arial Narrow" w:hAnsi="Arial Narrow"/>
          <w:i w:val="1"/>
          <w:color w:val="5f5f5f"/>
          <w:sz w:val="24"/>
          <w:szCs w:val="24"/>
          <w:rtl w:val="0"/>
        </w:rPr>
        <w:t xml:space="preserve">ministros de Economía, Finanzas y de Planificación, representantes del sector privado y expertos de América Latina y España analizaron las oportunidades para la integración latinoamericana a través del desarrollo de infraestructura en sectores estratégicos como vialidad, puertos, aeropuertos, telecomunicaciones y energía, entre otros. </w:t>
      </w:r>
    </w:p>
    <w:p w:rsidR="00000000" w:rsidDel="00000000" w:rsidP="00000000" w:rsidRDefault="00000000" w:rsidRPr="00000000" w14:paraId="00000003">
      <w:pPr>
        <w:spacing w:after="240" w:line="269"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16 de julio de 2018.- </w:t>
      </w:r>
      <w:r w:rsidDel="00000000" w:rsidR="00000000" w:rsidRPr="00000000">
        <w:rPr>
          <w:rFonts w:ascii="Arial Narrow" w:cs="Arial Narrow" w:eastAsia="Arial Narrow" w:hAnsi="Arial Narrow"/>
          <w:rtl w:val="0"/>
        </w:rPr>
        <w:t xml:space="preserve">La inversión en infraestructura está en el centro de las discusiones para el desarrollo en América Latina. Las oportunidades identificadas para la próxima década ascienden a USD 4.500 miles de millones. Solo en los sectores de transporte y telecomunicaciones existe un conjunto de proyectos y programas a ejecutarse en los siguientes 10 años, conformado por 22 iniciativas, cuyo monto acumulado de inversión suma USD 117.850 millones.</w:t>
      </w:r>
    </w:p>
    <w:p w:rsidR="00000000" w:rsidDel="00000000" w:rsidP="00000000" w:rsidRDefault="00000000" w:rsidRPr="00000000" w14:paraId="00000004">
      <w:pPr>
        <w:spacing w:after="240" w:line="269" w:lineRule="auto"/>
        <w:contextualSpacing w:val="0"/>
        <w:jc w:val="both"/>
        <w:rPr>
          <w:rFonts w:ascii="Arial Narrow" w:cs="Arial Narrow" w:eastAsia="Arial Narrow" w:hAnsi="Arial Narrow"/>
          <w:color w:val="808080"/>
        </w:rPr>
      </w:pPr>
      <w:r w:rsidDel="00000000" w:rsidR="00000000" w:rsidRPr="00000000">
        <w:rPr>
          <w:rFonts w:ascii="Arial Narrow" w:cs="Arial Narrow" w:eastAsia="Arial Narrow" w:hAnsi="Arial Narrow"/>
          <w:rtl w:val="0"/>
        </w:rPr>
        <w:t xml:space="preserve">Otra gran oportunidad de inversión son los 409 proyectos por ejecutar de la cartera de integración de infraestructura en América del Sur, por un total de USD 150.405 millones en los sectores transporte, telecomunicaciones y energía. Además, hacia 2040 se estima que en dos sectores clave como el </w:t>
      </w:r>
      <w:hyperlink r:id="rId7">
        <w:r w:rsidDel="00000000" w:rsidR="00000000" w:rsidRPr="00000000">
          <w:rPr>
            <w:rFonts w:ascii="Arial Narrow" w:cs="Arial Narrow" w:eastAsia="Arial Narrow" w:hAnsi="Arial Narrow"/>
            <w:color w:val="0000ff"/>
            <w:u w:val="single"/>
            <w:rtl w:val="0"/>
          </w:rPr>
          <w:t xml:space="preserve">portuario</w:t>
        </w:r>
      </w:hyperlink>
      <w:r w:rsidDel="00000000" w:rsidR="00000000" w:rsidRPr="00000000">
        <w:rPr>
          <w:rFonts w:ascii="Arial Narrow" w:cs="Arial Narrow" w:eastAsia="Arial Narrow" w:hAnsi="Arial Narrow"/>
          <w:color w:val="808080"/>
          <w:rtl w:val="0"/>
        </w:rPr>
        <w:t xml:space="preserve"> </w:t>
      </w:r>
      <w:r w:rsidDel="00000000" w:rsidR="00000000" w:rsidRPr="00000000">
        <w:rPr>
          <w:rFonts w:ascii="Arial Narrow" w:cs="Arial Narrow" w:eastAsia="Arial Narrow" w:hAnsi="Arial Narrow"/>
          <w:rtl w:val="0"/>
        </w:rPr>
        <w:t xml:space="preserve">y</w:t>
      </w:r>
      <w:r w:rsidDel="00000000" w:rsidR="00000000" w:rsidRPr="00000000">
        <w:rPr>
          <w:rFonts w:ascii="Arial Narrow" w:cs="Arial Narrow" w:eastAsia="Arial Narrow" w:hAnsi="Arial Narrow"/>
          <w:color w:val="808080"/>
          <w:rtl w:val="0"/>
        </w:rPr>
        <w:t xml:space="preserve"> </w:t>
      </w:r>
      <w:hyperlink r:id="rId8">
        <w:r w:rsidDel="00000000" w:rsidR="00000000" w:rsidRPr="00000000">
          <w:rPr>
            <w:rFonts w:ascii="Arial Narrow" w:cs="Arial Narrow" w:eastAsia="Arial Narrow" w:hAnsi="Arial Narrow"/>
            <w:color w:val="0000ff"/>
            <w:u w:val="single"/>
            <w:rtl w:val="0"/>
          </w:rPr>
          <w:t xml:space="preserve">aeroportuario</w:t>
        </w:r>
      </w:hyperlink>
      <w:r w:rsidDel="00000000" w:rsidR="00000000" w:rsidRPr="00000000">
        <w:rPr>
          <w:rFonts w:ascii="Arial Narrow" w:cs="Arial Narrow" w:eastAsia="Arial Narrow" w:hAnsi="Arial Narrow"/>
          <w:rtl w:val="0"/>
        </w:rPr>
        <w:t xml:space="preserve">, la región tiene necesidad de invertir USD 55.000 millones y USD 53.000 millones respectivamente.</w:t>
      </w:r>
      <w:r w:rsidDel="00000000" w:rsidR="00000000" w:rsidRPr="00000000">
        <w:rPr>
          <w:rtl w:val="0"/>
        </w:rPr>
      </w:r>
    </w:p>
    <w:p w:rsidR="00000000" w:rsidDel="00000000" w:rsidP="00000000" w:rsidRDefault="00000000" w:rsidRPr="00000000" w14:paraId="00000005">
      <w:pPr>
        <w:spacing w:after="240" w:line="269"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eso CAF -banco de desarrollo de América Latina-, que ha apoyado en los últimos 20 años un total de 77 proyectos de integración regional por USD 30.856 millones, realizó hoy en Madrid la </w:t>
      </w:r>
      <w:hyperlink r:id="rId9">
        <w:r w:rsidDel="00000000" w:rsidR="00000000" w:rsidRPr="00000000">
          <w:rPr>
            <w:rFonts w:ascii="Arial Narrow" w:cs="Arial Narrow" w:eastAsia="Arial Narrow" w:hAnsi="Arial Narrow"/>
            <w:color w:val="0000ff"/>
            <w:u w:val="single"/>
            <w:rtl w:val="0"/>
          </w:rPr>
          <w:t xml:space="preserve">Conferencia CAF: Infraestructura para la Integración de América Latina</w:t>
        </w:r>
      </w:hyperlink>
      <w:r w:rsidDel="00000000" w:rsidR="00000000" w:rsidRPr="00000000">
        <w:rPr>
          <w:rFonts w:ascii="Arial Narrow" w:cs="Arial Narrow" w:eastAsia="Arial Narrow" w:hAnsi="Arial Narrow"/>
          <w:rtl w:val="0"/>
        </w:rPr>
        <w:t xml:space="preserve">, en la que Ministros de Economía, Finanzas y de Planificación, representantes del sector privado y expertos de América Latina y España analizaron las oportunidades en el desarrollo de infraestructura y el enfoque de corredores logísticos, así como los desafíos y oportunidades de financiamiento de proyectos y programas de inversión prioritarios, para avanzar en una agenda de integración regional. </w:t>
      </w:r>
    </w:p>
    <w:p w:rsidR="00000000" w:rsidDel="00000000" w:rsidP="00000000" w:rsidRDefault="00000000" w:rsidRPr="00000000" w14:paraId="00000006">
      <w:pPr>
        <w:spacing w:after="240" w:line="269"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presidente ejecutivo de CAF, </w:t>
      </w:r>
      <w:r w:rsidDel="00000000" w:rsidR="00000000" w:rsidRPr="00000000">
        <w:rPr>
          <w:rFonts w:ascii="Arial Narrow" w:cs="Arial Narrow" w:eastAsia="Arial Narrow" w:hAnsi="Arial Narrow"/>
          <w:b w:val="1"/>
          <w:rtl w:val="0"/>
        </w:rPr>
        <w:t xml:space="preserve">Luis Carranza,</w:t>
      </w:r>
      <w:r w:rsidDel="00000000" w:rsidR="00000000" w:rsidRPr="00000000">
        <w:rPr>
          <w:rFonts w:ascii="Arial Narrow" w:cs="Arial Narrow" w:eastAsia="Arial Narrow" w:hAnsi="Arial Narrow"/>
          <w:rtl w:val="0"/>
        </w:rPr>
        <w:t xml:space="preserve"> ha señalado “</w:t>
      </w:r>
      <w:r w:rsidDel="00000000" w:rsidR="00000000" w:rsidRPr="00000000">
        <w:rPr>
          <w:rFonts w:ascii="Arial Narrow" w:cs="Arial Narrow" w:eastAsia="Arial Narrow" w:hAnsi="Arial Narrow"/>
          <w:i w:val="1"/>
          <w:rtl w:val="0"/>
        </w:rPr>
        <w:t xml:space="preserve">las brechas en infraestructuras que existen hoy en América latina, desde agua y electricidad, a transporte, logística y telecomunicaciones, sectores donde se debe duplicar la inversión sobre PIB, si queremos  converger con los países líderes en Asia y Europa” y</w:t>
      </w:r>
      <w:r w:rsidDel="00000000" w:rsidR="00000000" w:rsidRPr="00000000">
        <w:rPr>
          <w:rFonts w:ascii="Arial Narrow" w:cs="Arial Narrow" w:eastAsia="Arial Narrow" w:hAnsi="Arial Narrow"/>
          <w:rtl w:val="0"/>
        </w:rPr>
        <w:t xml:space="preserve"> ha subrayado que “</w:t>
      </w:r>
      <w:r w:rsidDel="00000000" w:rsidR="00000000" w:rsidRPr="00000000">
        <w:rPr>
          <w:rFonts w:ascii="Arial Narrow" w:cs="Arial Narrow" w:eastAsia="Arial Narrow" w:hAnsi="Arial Narrow"/>
          <w:i w:val="1"/>
          <w:rtl w:val="0"/>
        </w:rPr>
        <w:t xml:space="preserve">las infraestructuras son un elemento dinamizador del crecimiento económico, a través de la mejora de la productividad y como consolidación del desarrollo social, a través de la reducción de la pobreza y la consolidación de la clase media; y esa es la gran apuesta de CAF”.</w:t>
      </w:r>
      <w:r w:rsidDel="00000000" w:rsidR="00000000" w:rsidRPr="00000000">
        <w:rPr>
          <w:rtl w:val="0"/>
        </w:rPr>
      </w:r>
    </w:p>
    <w:p w:rsidR="00000000" w:rsidDel="00000000" w:rsidP="00000000" w:rsidRDefault="00000000" w:rsidRPr="00000000" w14:paraId="00000007">
      <w:pPr>
        <w:spacing w:after="240" w:line="269" w:lineRule="auto"/>
        <w:contextualSpacing w:val="0"/>
        <w:jc w:val="both"/>
        <w:rPr>
          <w:rFonts w:ascii="Arial Narrow" w:cs="Arial Narrow" w:eastAsia="Arial Narrow" w:hAnsi="Arial Narrow"/>
          <w:color w:val="1d1d1b"/>
        </w:rPr>
      </w:pPr>
      <w:r w:rsidDel="00000000" w:rsidR="00000000" w:rsidRPr="00000000">
        <w:rPr>
          <w:rFonts w:ascii="Arial Narrow" w:cs="Arial Narrow" w:eastAsia="Arial Narrow" w:hAnsi="Arial Narrow"/>
          <w:color w:val="1d1d1b"/>
          <w:rtl w:val="0"/>
        </w:rPr>
        <w:t xml:space="preserve">Actualmente existe una apuesta global por la funcionalidad de los corredores de integración, con un enfoque centrado en desempeño logístico sistémico, aplicación avanzada de nuevas tecnologías e innovación; lo que ha permitido generar soluciones eficientes en Canadá y países de Asia Central, entre otros. En este sentido, CAF propone un trabajo focalizado en Corredores Logísticos de Integración (CLI), que puede ser el gran dinamizador de la integración física y funcional de la infraestructura con el objetivo de impulsar la competitividad de los países de América Latina.</w:t>
      </w:r>
    </w:p>
    <w:p w:rsidR="00000000" w:rsidDel="00000000" w:rsidP="00000000" w:rsidRDefault="00000000" w:rsidRPr="00000000" w14:paraId="00000008">
      <w:pPr>
        <w:spacing w:after="240" w:line="269"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esa línea, es necesario propiciar un salto evolutivo en el entendimiento de la agenda de infraestructura de integración regional, transitando desde un “paradigma unidimensional” centrado en integración física, hacia un “paradigma multidimensional” de integración física y funcional. Este enfoque funcional debe englobar intervenciones sistémicas —infraestructura, servicios, gobernanza— sobre CLI que articulen diversos ámbitos de desarrollo como clústeres productivos, ejes de interconexión, pasos fronterizos, áreas metropolitanas o puertos, entre otros. </w:t>
      </w:r>
    </w:p>
    <w:p w:rsidR="00000000" w:rsidDel="00000000" w:rsidP="00000000" w:rsidRDefault="00000000" w:rsidRPr="00000000" w14:paraId="00000009">
      <w:pPr>
        <w:spacing w:after="240" w:line="269"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ministro de Fomento de España, </w:t>
      </w:r>
      <w:r w:rsidDel="00000000" w:rsidR="00000000" w:rsidRPr="00000000">
        <w:rPr>
          <w:rFonts w:ascii="Arial Narrow" w:cs="Arial Narrow" w:eastAsia="Arial Narrow" w:hAnsi="Arial Narrow"/>
          <w:b w:val="1"/>
          <w:rtl w:val="0"/>
        </w:rPr>
        <w:t xml:space="preserve">José Luis Ábalos</w:t>
      </w:r>
      <w:r w:rsidDel="00000000" w:rsidR="00000000" w:rsidRPr="00000000">
        <w:rPr>
          <w:rFonts w:ascii="Arial Narrow" w:cs="Arial Narrow" w:eastAsia="Arial Narrow" w:hAnsi="Arial Narrow"/>
          <w:rtl w:val="0"/>
        </w:rPr>
        <w:t xml:space="preserve">, ha asegurado la colaboración de su departamento con el sector privado a la hora de abordar las iniciativas en infraestructuras porque “</w:t>
      </w:r>
      <w:r w:rsidDel="00000000" w:rsidR="00000000" w:rsidRPr="00000000">
        <w:rPr>
          <w:rFonts w:ascii="Arial Narrow" w:cs="Arial Narrow" w:eastAsia="Arial Narrow" w:hAnsi="Arial Narrow"/>
          <w:i w:val="1"/>
          <w:rtl w:val="0"/>
        </w:rPr>
        <w:t xml:space="preserve">es importante el apoyo y colaboración con la empresa española que tiene gran desarrollo internacional</w:t>
      </w:r>
      <w:r w:rsidDel="00000000" w:rsidR="00000000" w:rsidRPr="00000000">
        <w:rPr>
          <w:rFonts w:ascii="Arial Narrow" w:cs="Arial Narrow" w:eastAsia="Arial Narrow" w:hAnsi="Arial Narrow"/>
          <w:rtl w:val="0"/>
        </w:rPr>
        <w:t xml:space="preserve">” y ha garantizado el compromiso del Gobierno con América Latina porque “</w:t>
      </w:r>
      <w:r w:rsidDel="00000000" w:rsidR="00000000" w:rsidRPr="00000000">
        <w:rPr>
          <w:rFonts w:ascii="Arial Narrow" w:cs="Arial Narrow" w:eastAsia="Arial Narrow" w:hAnsi="Arial Narrow"/>
          <w:i w:val="1"/>
          <w:rtl w:val="0"/>
        </w:rPr>
        <w:t xml:space="preserve">soy partidario de la revitalización de la Comunidad Iberoamericana de Naciones como puente de colaboración con Europa y no solo desde el punto de vista afectivo e histórico sino en el político y económico, en concreto en el sector de las infraestructuras</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A">
      <w:pPr>
        <w:spacing w:after="240" w:line="269"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secretaria de Estado de Economía y Apoyo a la Empresa de España, </w:t>
      </w:r>
      <w:r w:rsidDel="00000000" w:rsidR="00000000" w:rsidRPr="00000000">
        <w:rPr>
          <w:rFonts w:ascii="Arial Narrow" w:cs="Arial Narrow" w:eastAsia="Arial Narrow" w:hAnsi="Arial Narrow"/>
          <w:b w:val="1"/>
          <w:rtl w:val="0"/>
        </w:rPr>
        <w:t xml:space="preserve">Ana de la Cueva,</w:t>
      </w:r>
      <w:r w:rsidDel="00000000" w:rsidR="00000000" w:rsidRPr="00000000">
        <w:rPr>
          <w:rFonts w:ascii="Arial Narrow" w:cs="Arial Narrow" w:eastAsia="Arial Narrow" w:hAnsi="Arial Narrow"/>
          <w:rtl w:val="0"/>
        </w:rPr>
        <w:t xml:space="preserve"> ha puesto de manifiesto la importancia de construir alianzas público privadas que permitan optimizar los recursos para hacer frente a la creciente demanda de infraestructuras: “</w:t>
      </w:r>
      <w:r w:rsidDel="00000000" w:rsidR="00000000" w:rsidRPr="00000000">
        <w:rPr>
          <w:rFonts w:ascii="Arial Narrow" w:cs="Arial Narrow" w:eastAsia="Arial Narrow" w:hAnsi="Arial Narrow"/>
          <w:i w:val="1"/>
          <w:rtl w:val="0"/>
        </w:rPr>
        <w:t xml:space="preserve">es necesario que el enfoque tradicional de financiación se complemente con la movilización de capital privado</w:t>
      </w:r>
      <w:r w:rsidDel="00000000" w:rsidR="00000000" w:rsidRPr="00000000">
        <w:rPr>
          <w:rFonts w:ascii="Arial Narrow" w:cs="Arial Narrow" w:eastAsia="Arial Narrow" w:hAnsi="Arial Narrow"/>
          <w:rtl w:val="0"/>
        </w:rPr>
        <w:t xml:space="preserve">”. Asimismo, la secretaria de Estado ha querido destacar el papel de las empresas españolas en el desarrollo de infraestructuras en Latinoamérica señalando que “</w:t>
      </w:r>
      <w:r w:rsidDel="00000000" w:rsidR="00000000" w:rsidRPr="00000000">
        <w:rPr>
          <w:rFonts w:ascii="Arial Narrow" w:cs="Arial Narrow" w:eastAsia="Arial Narrow" w:hAnsi="Arial Narrow"/>
          <w:i w:val="1"/>
          <w:rtl w:val="0"/>
        </w:rPr>
        <w:t xml:space="preserve">es indudable que las inversiones de las empresas españolas junto con las de instituciones financieras multilaterales como CAF han conseguido cerrar la brecha vertical en infraestructuras en la región, con el consiguiente impacto positivo en el bienestar económico y social</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B">
      <w:pPr>
        <w:spacing w:after="240" w:line="269" w:lineRule="auto"/>
        <w:contextualSpacing w:val="0"/>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En el debate sobre las oportunidades de financiamiento e inversión en América Latina que se realizó en Casa de América, participaron </w:t>
      </w:r>
      <w:r w:rsidDel="00000000" w:rsidR="00000000" w:rsidRPr="00000000">
        <w:rPr>
          <w:rFonts w:ascii="Arial Narrow" w:cs="Arial Narrow" w:eastAsia="Arial Narrow" w:hAnsi="Arial Narrow"/>
          <w:b w:val="1"/>
          <w:rtl w:val="0"/>
        </w:rPr>
        <w:t xml:space="preserve">Esteves Colnago Junior</w:t>
      </w:r>
      <w:r w:rsidDel="00000000" w:rsidR="00000000" w:rsidRPr="00000000">
        <w:rPr>
          <w:rFonts w:ascii="Arial Narrow" w:cs="Arial Narrow" w:eastAsia="Arial Narrow" w:hAnsi="Arial Narrow"/>
          <w:rtl w:val="0"/>
        </w:rPr>
        <w:t xml:space="preserve">, presidente del Directorio de CAF y ministro de Planeamiento, Desarrollo y Gestión de Brasil; </w:t>
      </w:r>
      <w:r w:rsidDel="00000000" w:rsidR="00000000" w:rsidRPr="00000000">
        <w:rPr>
          <w:rFonts w:ascii="Arial Narrow" w:cs="Arial Narrow" w:eastAsia="Arial Narrow" w:hAnsi="Arial Narrow"/>
          <w:b w:val="1"/>
          <w:color w:val="000000"/>
          <w:rtl w:val="0"/>
        </w:rPr>
        <w:t xml:space="preserve">Mariana Prado</w:t>
      </w:r>
      <w:r w:rsidDel="00000000" w:rsidR="00000000" w:rsidRPr="00000000">
        <w:rPr>
          <w:rFonts w:ascii="Arial Narrow" w:cs="Arial Narrow" w:eastAsia="Arial Narrow" w:hAnsi="Arial Narrow"/>
          <w:color w:val="000000"/>
          <w:rtl w:val="0"/>
        </w:rPr>
        <w:t xml:space="preserve">, ministra de Planificación del Desarrollo de Bolivia; </w:t>
      </w:r>
      <w:r w:rsidDel="00000000" w:rsidR="00000000" w:rsidRPr="00000000">
        <w:rPr>
          <w:rFonts w:ascii="Arial Narrow" w:cs="Arial Narrow" w:eastAsia="Arial Narrow" w:hAnsi="Arial Narrow"/>
          <w:b w:val="1"/>
          <w:color w:val="000000"/>
          <w:rtl w:val="0"/>
        </w:rPr>
        <w:t xml:space="preserve">Dyogo de Oliveira</w:t>
      </w:r>
      <w:r w:rsidDel="00000000" w:rsidR="00000000" w:rsidRPr="00000000">
        <w:rPr>
          <w:rFonts w:ascii="Arial Narrow" w:cs="Arial Narrow" w:eastAsia="Arial Narrow" w:hAnsi="Arial Narrow"/>
          <w:color w:val="000000"/>
          <w:rtl w:val="0"/>
        </w:rPr>
        <w:t xml:space="preserve">, presidente del Banco Nacional de Desarrollo (BNDES) de Brasil; </w:t>
      </w:r>
      <w:r w:rsidDel="00000000" w:rsidR="00000000" w:rsidRPr="00000000">
        <w:rPr>
          <w:rFonts w:ascii="Arial Narrow" w:cs="Arial Narrow" w:eastAsia="Arial Narrow" w:hAnsi="Arial Narrow"/>
          <w:b w:val="1"/>
          <w:color w:val="000000"/>
          <w:rtl w:val="0"/>
        </w:rPr>
        <w:t xml:space="preserve">Mauricio Cárdenas</w:t>
      </w:r>
      <w:r w:rsidDel="00000000" w:rsidR="00000000" w:rsidRPr="00000000">
        <w:rPr>
          <w:rFonts w:ascii="Arial Narrow" w:cs="Arial Narrow" w:eastAsia="Arial Narrow" w:hAnsi="Arial Narrow"/>
          <w:color w:val="000000"/>
          <w:rtl w:val="0"/>
        </w:rPr>
        <w:t xml:space="preserve">, ministro de Hacienda y Crédito Público de Colombia; </w:t>
      </w:r>
      <w:r w:rsidDel="00000000" w:rsidR="00000000" w:rsidRPr="00000000">
        <w:rPr>
          <w:rFonts w:ascii="Arial Narrow" w:cs="Arial Narrow" w:eastAsia="Arial Narrow" w:hAnsi="Arial Narrow"/>
          <w:b w:val="1"/>
          <w:color w:val="000000"/>
          <w:rtl w:val="0"/>
        </w:rPr>
        <w:t xml:space="preserve">Humberto Colman</w:t>
      </w:r>
      <w:r w:rsidDel="00000000" w:rsidR="00000000" w:rsidRPr="00000000">
        <w:rPr>
          <w:rFonts w:ascii="Arial Narrow" w:cs="Arial Narrow" w:eastAsia="Arial Narrow" w:hAnsi="Arial Narrow"/>
          <w:color w:val="000000"/>
          <w:rtl w:val="0"/>
        </w:rPr>
        <w:t xml:space="preserve">, viceministro de Hacienda de Paraguay; </w:t>
      </w:r>
      <w:r w:rsidDel="00000000" w:rsidR="00000000" w:rsidRPr="00000000">
        <w:rPr>
          <w:rFonts w:ascii="Arial Narrow" w:cs="Arial Narrow" w:eastAsia="Arial Narrow" w:hAnsi="Arial Narrow"/>
          <w:b w:val="1"/>
          <w:color w:val="000000"/>
          <w:rtl w:val="0"/>
        </w:rPr>
        <w:t xml:space="preserve">Pedro Grados</w:t>
      </w:r>
      <w:r w:rsidDel="00000000" w:rsidR="00000000" w:rsidRPr="00000000">
        <w:rPr>
          <w:rFonts w:ascii="Arial Narrow" w:cs="Arial Narrow" w:eastAsia="Arial Narrow" w:hAnsi="Arial Narrow"/>
          <w:color w:val="000000"/>
          <w:rtl w:val="0"/>
        </w:rPr>
        <w:t xml:space="preserve">, presidente del Directorio de la Corporación Financiera de Desarrollo de Perú; </w:t>
      </w:r>
      <w:r w:rsidDel="00000000" w:rsidR="00000000" w:rsidRPr="00000000">
        <w:rPr>
          <w:rFonts w:ascii="Arial Narrow" w:cs="Arial Narrow" w:eastAsia="Arial Narrow" w:hAnsi="Arial Narrow"/>
          <w:b w:val="1"/>
          <w:color w:val="000000"/>
          <w:rtl w:val="0"/>
        </w:rPr>
        <w:t xml:space="preserve">Mario Bergara</w:t>
      </w:r>
      <w:r w:rsidDel="00000000" w:rsidR="00000000" w:rsidRPr="00000000">
        <w:rPr>
          <w:rFonts w:ascii="Arial Narrow" w:cs="Arial Narrow" w:eastAsia="Arial Narrow" w:hAnsi="Arial Narrow"/>
          <w:color w:val="000000"/>
          <w:rtl w:val="0"/>
        </w:rPr>
        <w:t xml:space="preserve">, presidente del Banco Central de Uruguay; </w:t>
      </w:r>
      <w:r w:rsidDel="00000000" w:rsidR="00000000" w:rsidRPr="00000000">
        <w:rPr>
          <w:rFonts w:ascii="Arial Narrow" w:cs="Arial Narrow" w:eastAsia="Arial Narrow" w:hAnsi="Arial Narrow"/>
          <w:b w:val="1"/>
          <w:color w:val="000000"/>
          <w:rtl w:val="0"/>
        </w:rPr>
        <w:t xml:space="preserve">Santiago Miralles</w:t>
      </w:r>
      <w:r w:rsidDel="00000000" w:rsidR="00000000" w:rsidRPr="00000000">
        <w:rPr>
          <w:rFonts w:ascii="Arial Narrow" w:cs="Arial Narrow" w:eastAsia="Arial Narrow" w:hAnsi="Arial Narrow"/>
          <w:color w:val="000000"/>
          <w:rtl w:val="0"/>
        </w:rPr>
        <w:t xml:space="preserve">, director general de Casa de América; </w:t>
      </w:r>
      <w:r w:rsidDel="00000000" w:rsidR="00000000" w:rsidRPr="00000000">
        <w:rPr>
          <w:rFonts w:ascii="Arial Narrow" w:cs="Arial Narrow" w:eastAsia="Arial Narrow" w:hAnsi="Arial Narrow"/>
          <w:b w:val="1"/>
          <w:color w:val="000000"/>
          <w:rtl w:val="0"/>
        </w:rPr>
        <w:t xml:space="preserve">Salvador Marín</w:t>
      </w:r>
      <w:r w:rsidDel="00000000" w:rsidR="00000000" w:rsidRPr="00000000">
        <w:rPr>
          <w:rFonts w:ascii="Arial Narrow" w:cs="Arial Narrow" w:eastAsia="Arial Narrow" w:hAnsi="Arial Narrow"/>
          <w:color w:val="000000"/>
          <w:rtl w:val="0"/>
        </w:rPr>
        <w:t xml:space="preserve">, presidente de COFIDES; </w:t>
      </w:r>
      <w:r w:rsidDel="00000000" w:rsidR="00000000" w:rsidRPr="00000000">
        <w:rPr>
          <w:rFonts w:ascii="Arial Narrow" w:cs="Arial Narrow" w:eastAsia="Arial Narrow" w:hAnsi="Arial Narrow"/>
          <w:b w:val="1"/>
          <w:color w:val="000000"/>
          <w:rtl w:val="0"/>
        </w:rPr>
        <w:t xml:space="preserve">Joan Rosell</w:t>
      </w:r>
      <w:r w:rsidDel="00000000" w:rsidR="00000000" w:rsidRPr="00000000">
        <w:rPr>
          <w:rFonts w:ascii="Arial Narrow" w:cs="Arial Narrow" w:eastAsia="Arial Narrow" w:hAnsi="Arial Narrow"/>
          <w:color w:val="000000"/>
          <w:rtl w:val="0"/>
        </w:rPr>
        <w:t xml:space="preserve">, presidente de la Confederación Española de Organizaciones Empresariales (CEOE), </w:t>
      </w:r>
      <w:r w:rsidDel="00000000" w:rsidR="00000000" w:rsidRPr="00000000">
        <w:rPr>
          <w:rFonts w:ascii="Arial Narrow" w:cs="Arial Narrow" w:eastAsia="Arial Narrow" w:hAnsi="Arial Narrow"/>
          <w:b w:val="1"/>
          <w:color w:val="000000"/>
          <w:rtl w:val="0"/>
        </w:rPr>
        <w:t xml:space="preserve">Isaac Martín-Barbero</w:t>
      </w:r>
      <w:r w:rsidDel="00000000" w:rsidR="00000000" w:rsidRPr="00000000">
        <w:rPr>
          <w:rFonts w:ascii="Arial Narrow" w:cs="Arial Narrow" w:eastAsia="Arial Narrow" w:hAnsi="Arial Narrow"/>
          <w:color w:val="000000"/>
          <w:rtl w:val="0"/>
        </w:rPr>
        <w:t xml:space="preserve">, presidente de INECO; y </w:t>
      </w:r>
      <w:r w:rsidDel="00000000" w:rsidR="00000000" w:rsidRPr="00000000">
        <w:rPr>
          <w:rFonts w:ascii="Arial Narrow" w:cs="Arial Narrow" w:eastAsia="Arial Narrow" w:hAnsi="Arial Narrow"/>
          <w:b w:val="1"/>
          <w:color w:val="000000"/>
          <w:rtl w:val="0"/>
        </w:rPr>
        <w:t xml:space="preserve">Juan Béjar</w:t>
      </w:r>
      <w:r w:rsidDel="00000000" w:rsidR="00000000" w:rsidRPr="00000000">
        <w:rPr>
          <w:rFonts w:ascii="Arial Narrow" w:cs="Arial Narrow" w:eastAsia="Arial Narrow" w:hAnsi="Arial Narrow"/>
          <w:color w:val="000000"/>
          <w:rtl w:val="0"/>
        </w:rPr>
        <w:t xml:space="preserve">, presidente de </w:t>
      </w:r>
      <w:r w:rsidDel="00000000" w:rsidR="00000000" w:rsidRPr="00000000">
        <w:rPr>
          <w:rFonts w:ascii="Arial Narrow" w:cs="Arial Narrow" w:eastAsia="Arial Narrow" w:hAnsi="Arial Narrow"/>
          <w:b w:val="1"/>
          <w:color w:val="000000"/>
          <w:rtl w:val="0"/>
        </w:rPr>
        <w:t xml:space="preserve">Globalvía, </w:t>
      </w:r>
      <w:r w:rsidDel="00000000" w:rsidR="00000000" w:rsidRPr="00000000">
        <w:rPr>
          <w:rFonts w:ascii="Arial Narrow" w:cs="Arial Narrow" w:eastAsia="Arial Narrow" w:hAnsi="Arial Narrow"/>
          <w:color w:val="000000"/>
          <w:rtl w:val="0"/>
        </w:rPr>
        <w:t xml:space="preserve">entre otros.</w:t>
      </w:r>
      <w:r w:rsidDel="00000000" w:rsidR="00000000" w:rsidRPr="00000000">
        <w:rPr>
          <w:rtl w:val="0"/>
        </w:rPr>
      </w:r>
    </w:p>
    <w:p w:rsidR="00000000" w:rsidDel="00000000" w:rsidP="00000000" w:rsidRDefault="00000000" w:rsidRPr="00000000" w14:paraId="0000000C">
      <w:pPr>
        <w:contextualSpacing w:val="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D">
      <w:pPr>
        <w:contextualSpacing w:val="0"/>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0">
        <w:r w:rsidDel="00000000" w:rsidR="00000000" w:rsidRPr="00000000">
          <w:rPr>
            <w:rFonts w:ascii="Arial Narrow" w:cs="Arial Narrow" w:eastAsia="Arial Narrow" w:hAnsi="Arial Narrow"/>
            <w:color w:val="0000ff"/>
            <w:sz w:val="18"/>
            <w:szCs w:val="18"/>
            <w:u w:val="single"/>
            <w:rtl w:val="0"/>
          </w:rPr>
          <w:t xml:space="preserve">www.caf.com</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42"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12">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0">
      <w:pPr>
        <w:shd w:fill="ffffff" w:val="clear"/>
        <w:contextualSpacing w:val="0"/>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3">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w:t>
      </w:r>
      <w:hyperlink r:id="rId14">
        <w:r w:rsidDel="00000000" w:rsidR="00000000" w:rsidRPr="00000000">
          <w:rPr>
            <w:rFonts w:ascii="Arial Narrow" w:cs="Arial Narrow" w:eastAsia="Arial Narrow" w:hAnsi="Arial Narrow"/>
            <w:color w:val="0000ff"/>
            <w:sz w:val="18"/>
            <w:szCs w:val="18"/>
            <w:u w:val="single"/>
            <w:rtl w:val="0"/>
          </w:rPr>
          <w:t xml:space="preserve">@AgendaCAF</w:t>
        </w:r>
      </w:hyperlink>
      <w:r w:rsidDel="00000000" w:rsidR="00000000" w:rsidRPr="00000000">
        <w:rPr>
          <w:rtl w:val="0"/>
        </w:rPr>
      </w:r>
    </w:p>
    <w:sectPr>
      <w:headerReference r:id="rId15" w:type="default"/>
      <w:pgSz w:h="15840" w:w="12240"/>
      <w:pgMar w:bottom="1134" w:top="198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114300</wp:posOffset>
          </wp:positionH>
          <wp:positionV relativeFrom="paragraph">
            <wp:posOffset>0</wp:posOffset>
          </wp:positionV>
          <wp:extent cx="2350770" cy="438785"/>
          <wp:effectExtent b="0" l="0" r="0" t="0"/>
          <wp:wrapSquare wrapText="bothSides" distB="0" distT="0" distL="114300" distR="11430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350770" cy="4387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caf.com" TargetMode="External"/><Relationship Id="rId13" Type="http://schemas.openxmlformats.org/officeDocument/2006/relationships/hyperlink" Target="https://www.facebook.com/CAF.America.Latina" TargetMode="External"/><Relationship Id="rId12" Type="http://schemas.openxmlformats.org/officeDocument/2006/relationships/hyperlink" Target="mailto:prensa@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actualidad/eventos/2018/07/infraestructura-para-la-integracion-de-america-latina/" TargetMode="External"/><Relationship Id="rId15" Type="http://schemas.openxmlformats.org/officeDocument/2006/relationships/header" Target="header1.xml"/><Relationship Id="rId14" Type="http://schemas.openxmlformats.org/officeDocument/2006/relationships/hyperlink" Target="https://twitter.com/AgendaCAF" TargetMode="External"/><Relationship Id="rId5" Type="http://schemas.openxmlformats.org/officeDocument/2006/relationships/styles" Target="styles.xml"/><Relationship Id="rId6" Type="http://schemas.openxmlformats.org/officeDocument/2006/relationships/hyperlink" Target="https://www.caf.com/es/actualidad/eventos/2018/07/infraestructura-para-la-integracion-de-america-latina/" TargetMode="External"/><Relationship Id="rId7" Type="http://schemas.openxmlformats.org/officeDocument/2006/relationships/hyperlink" Target="https://www.caf.com/es/actualidad/noticias/2018/07/para-impulsar-el-sector-maritimo-y-portuario-de-america-latina-se-necesitan-usd-55000-millones-a-2040/?parent=home" TargetMode="External"/><Relationship Id="rId8" Type="http://schemas.openxmlformats.org/officeDocument/2006/relationships/hyperlink" Target="https://www.caf.com/es/actualidad/noticias/2018/06/oportunidades-de-inversion-para-atender-la-creciente-demanda-en-aeropuertos-de-america-latina-a-20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